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DBDCD" w14:textId="77777777" w:rsidR="0079114F" w:rsidRPr="0044140C" w:rsidRDefault="007D63FA" w:rsidP="00DE48E1">
      <w:pPr>
        <w:spacing w:after="0"/>
        <w:rPr>
          <w:rFonts w:ascii="Calibri" w:hAnsi="Calibri" w:cs="Calibri"/>
          <w:color w:val="000000"/>
          <w:sz w:val="22"/>
          <w:szCs w:val="22"/>
          <w:lang w:val="en-US"/>
        </w:rPr>
      </w:pPr>
      <w:r>
        <w:rPr>
          <w:b/>
          <w:sz w:val="28"/>
          <w:szCs w:val="28"/>
          <w:lang w:val="en-US"/>
        </w:rPr>
        <w:t>Title of the seminar:</w:t>
      </w:r>
      <w:r w:rsidR="00DE48E1" w:rsidRPr="0044140C">
        <w:rPr>
          <w:rFonts w:ascii="Calibri" w:hAnsi="Calibri" w:cs="Calibri"/>
          <w:color w:val="000000"/>
          <w:sz w:val="22"/>
          <w:szCs w:val="22"/>
          <w:lang w:val="en-US"/>
        </w:rPr>
        <w:t xml:space="preserve"> </w:t>
      </w:r>
    </w:p>
    <w:p w14:paraId="4A460F40" w14:textId="77777777" w:rsidR="0079114F" w:rsidRPr="0044140C" w:rsidRDefault="0079114F" w:rsidP="00DE48E1">
      <w:pPr>
        <w:spacing w:after="0"/>
        <w:rPr>
          <w:rFonts w:ascii="Calibri" w:hAnsi="Calibri" w:cs="Calibri"/>
          <w:color w:val="000000"/>
          <w:sz w:val="22"/>
          <w:szCs w:val="22"/>
          <w:lang w:val="en-US"/>
        </w:rPr>
      </w:pPr>
    </w:p>
    <w:p w14:paraId="0B2EBA75" w14:textId="10C7564A" w:rsidR="00DE48E1" w:rsidRPr="00787DD4" w:rsidRDefault="00DE48E1" w:rsidP="00DE48E1">
      <w:pPr>
        <w:spacing w:after="0"/>
        <w:rPr>
          <w:rFonts w:ascii="Times New Roman" w:eastAsia="Times New Roman" w:hAnsi="Times New Roman"/>
          <w:b/>
          <w:bCs/>
          <w:lang w:val="en-US" w:eastAsia="nl-NL"/>
        </w:rPr>
      </w:pPr>
      <w:r w:rsidRPr="00787DD4">
        <w:rPr>
          <w:rFonts w:ascii="Calibri" w:eastAsia="Times New Roman" w:hAnsi="Calibri" w:cs="Calibri"/>
          <w:b/>
          <w:bCs/>
          <w:color w:val="000000"/>
          <w:sz w:val="22"/>
          <w:szCs w:val="22"/>
          <w:lang w:val="en-US" w:eastAsia="nl-NL"/>
        </w:rPr>
        <w:t>Management of thrombosis</w:t>
      </w:r>
      <w:r w:rsidR="0079114F">
        <w:rPr>
          <w:rFonts w:ascii="Calibri" w:eastAsia="Times New Roman" w:hAnsi="Calibri" w:cs="Calibri"/>
          <w:b/>
          <w:bCs/>
          <w:color w:val="000000"/>
          <w:sz w:val="22"/>
          <w:szCs w:val="22"/>
          <w:lang w:val="en-US" w:eastAsia="nl-NL"/>
        </w:rPr>
        <w:t xml:space="preserve"> anno 2022</w:t>
      </w:r>
      <w:r w:rsidRPr="00787DD4">
        <w:rPr>
          <w:rFonts w:ascii="Calibri" w:eastAsia="Times New Roman" w:hAnsi="Calibri" w:cs="Calibri"/>
          <w:b/>
          <w:bCs/>
          <w:color w:val="000000"/>
          <w:sz w:val="22"/>
          <w:szCs w:val="22"/>
          <w:lang w:val="en-US" w:eastAsia="nl-NL"/>
        </w:rPr>
        <w:t xml:space="preserve"> </w:t>
      </w:r>
    </w:p>
    <w:p w14:paraId="5EC6557B" w14:textId="1AB3D95F" w:rsidR="007D63FA" w:rsidRDefault="007D63FA" w:rsidP="007D63FA">
      <w:pPr>
        <w:spacing w:after="0" w:line="360" w:lineRule="auto"/>
        <w:rPr>
          <w:b/>
          <w:sz w:val="28"/>
          <w:szCs w:val="28"/>
          <w:lang w:val="en-US"/>
        </w:rPr>
      </w:pPr>
    </w:p>
    <w:p w14:paraId="79CA289F" w14:textId="77777777" w:rsidR="007D63FA" w:rsidRDefault="007D63FA" w:rsidP="007D63FA">
      <w:pPr>
        <w:spacing w:after="0" w:line="360" w:lineRule="auto"/>
        <w:rPr>
          <w:b/>
          <w:sz w:val="28"/>
          <w:szCs w:val="28"/>
          <w:lang w:val="en-US"/>
        </w:rPr>
      </w:pPr>
      <w:r>
        <w:rPr>
          <w:b/>
          <w:sz w:val="28"/>
          <w:szCs w:val="28"/>
          <w:lang w:val="en-US"/>
        </w:rPr>
        <w:t>Title of the course:</w:t>
      </w:r>
    </w:p>
    <w:p w14:paraId="5B854CE7" w14:textId="400B5304" w:rsidR="004A3E14" w:rsidRDefault="007D63FA" w:rsidP="007D63FA">
      <w:pPr>
        <w:spacing w:after="0" w:line="360" w:lineRule="auto"/>
        <w:rPr>
          <w:b/>
          <w:sz w:val="28"/>
          <w:szCs w:val="28"/>
          <w:lang w:val="en-US"/>
        </w:rPr>
      </w:pPr>
      <w:r>
        <w:rPr>
          <w:b/>
          <w:sz w:val="28"/>
          <w:szCs w:val="28"/>
          <w:lang w:val="en-US"/>
        </w:rPr>
        <w:t>Speaker’s name:</w:t>
      </w:r>
      <w:r w:rsidR="00787DD4">
        <w:rPr>
          <w:b/>
          <w:sz w:val="28"/>
          <w:szCs w:val="28"/>
          <w:lang w:val="en-US"/>
        </w:rPr>
        <w:t xml:space="preserve"> Peter Verhamme</w:t>
      </w:r>
    </w:p>
    <w:p w14:paraId="6ECAEC5A" w14:textId="77777777" w:rsidR="00623590" w:rsidRDefault="00623590" w:rsidP="00623590">
      <w:pPr>
        <w:spacing w:after="0" w:line="360" w:lineRule="auto"/>
        <w:rPr>
          <w:bCs/>
          <w:sz w:val="28"/>
          <w:szCs w:val="28"/>
          <w:lang w:val="en-US"/>
        </w:rPr>
      </w:pPr>
    </w:p>
    <w:p w14:paraId="1AFEFA8F" w14:textId="77777777" w:rsidR="00623590" w:rsidRPr="001933F2" w:rsidRDefault="00623590" w:rsidP="00623590">
      <w:pPr>
        <w:spacing w:after="0" w:line="360" w:lineRule="auto"/>
        <w:rPr>
          <w:rFonts w:asciiTheme="majorHAnsi" w:hAnsiTheme="majorHAnsi" w:cstheme="majorHAnsi"/>
          <w:bCs/>
          <w:lang w:val="en-US"/>
        </w:rPr>
      </w:pPr>
      <w:r w:rsidRPr="001933F2">
        <w:rPr>
          <w:rFonts w:asciiTheme="majorHAnsi" w:hAnsiTheme="majorHAnsi" w:cstheme="majorHAnsi"/>
          <w:bCs/>
          <w:lang w:val="en-US"/>
        </w:rPr>
        <w:t>References:</w:t>
      </w:r>
    </w:p>
    <w:p w14:paraId="6BF47078" w14:textId="77777777" w:rsidR="00623590" w:rsidRPr="001933F2" w:rsidRDefault="00623590" w:rsidP="00623590">
      <w:pPr>
        <w:spacing w:after="0"/>
        <w:rPr>
          <w:rFonts w:asciiTheme="majorHAnsi" w:hAnsiTheme="majorHAnsi" w:cstheme="majorHAnsi"/>
          <w:bCs/>
          <w:lang w:val="en-US"/>
        </w:rPr>
      </w:pPr>
    </w:p>
    <w:p w14:paraId="6EC2A499" w14:textId="4652A799" w:rsidR="00623590" w:rsidRPr="001933F2" w:rsidRDefault="00623590" w:rsidP="00623590">
      <w:pPr>
        <w:spacing w:after="0"/>
        <w:rPr>
          <w:rFonts w:asciiTheme="majorHAnsi" w:hAnsiTheme="majorHAnsi" w:cstheme="majorHAnsi"/>
          <w:b/>
          <w:lang w:val="en-US"/>
        </w:rPr>
      </w:pPr>
      <w:r w:rsidRPr="001933F2">
        <w:rPr>
          <w:rFonts w:asciiTheme="majorHAnsi" w:hAnsiTheme="majorHAnsi" w:cstheme="majorHAnsi"/>
          <w:b/>
          <w:lang w:val="en-US"/>
        </w:rPr>
        <w:t>American Society of Hematology 2020 guidelines for management of venous thromboembolism: treatment of deep vein thrombosis and pulmonary embolism.</w:t>
      </w:r>
    </w:p>
    <w:p w14:paraId="3C317605" w14:textId="77777777" w:rsidR="00623590" w:rsidRPr="001933F2" w:rsidRDefault="00623590" w:rsidP="00623590">
      <w:pPr>
        <w:spacing w:after="0"/>
        <w:rPr>
          <w:rFonts w:asciiTheme="majorHAnsi" w:hAnsiTheme="majorHAnsi" w:cstheme="majorHAnsi"/>
          <w:bCs/>
          <w:lang w:val="en-US"/>
        </w:rPr>
      </w:pPr>
      <w:r w:rsidRPr="001933F2">
        <w:rPr>
          <w:rFonts w:asciiTheme="majorHAnsi" w:hAnsiTheme="majorHAnsi" w:cstheme="majorHAnsi"/>
          <w:bCs/>
          <w:lang w:val="en-US"/>
        </w:rPr>
        <w:t xml:space="preserve">Ortel TL, Neumann I, Ageno W, Beyth R, Clark NP, Cuker A, Hutten BA, Jaff MR, Manja V, Schulman S, Thurston C, Vedantham S, Verhamme P, Witt DM, D Florez I, </w:t>
      </w:r>
      <w:proofErr w:type="spellStart"/>
      <w:r w:rsidRPr="001933F2">
        <w:rPr>
          <w:rFonts w:asciiTheme="majorHAnsi" w:hAnsiTheme="majorHAnsi" w:cstheme="majorHAnsi"/>
          <w:bCs/>
          <w:lang w:val="en-US"/>
        </w:rPr>
        <w:t>Izcovich</w:t>
      </w:r>
      <w:proofErr w:type="spellEnd"/>
      <w:r w:rsidRPr="001933F2">
        <w:rPr>
          <w:rFonts w:asciiTheme="majorHAnsi" w:hAnsiTheme="majorHAnsi" w:cstheme="majorHAnsi"/>
          <w:bCs/>
          <w:lang w:val="en-US"/>
        </w:rPr>
        <w:t xml:space="preserve"> A, Nieuwlaat R, Ross S, J </w:t>
      </w:r>
      <w:proofErr w:type="spellStart"/>
      <w:r w:rsidRPr="001933F2">
        <w:rPr>
          <w:rFonts w:asciiTheme="majorHAnsi" w:hAnsiTheme="majorHAnsi" w:cstheme="majorHAnsi"/>
          <w:bCs/>
          <w:lang w:val="en-US"/>
        </w:rPr>
        <w:t>Schünemann</w:t>
      </w:r>
      <w:proofErr w:type="spellEnd"/>
      <w:r w:rsidRPr="001933F2">
        <w:rPr>
          <w:rFonts w:asciiTheme="majorHAnsi" w:hAnsiTheme="majorHAnsi" w:cstheme="majorHAnsi"/>
          <w:bCs/>
          <w:lang w:val="en-US"/>
        </w:rPr>
        <w:t xml:space="preserve"> H, Wiercioch W, Zhang Y, Zhang Y.</w:t>
      </w:r>
    </w:p>
    <w:p w14:paraId="28707BF5" w14:textId="50898225" w:rsidR="00623590" w:rsidRPr="001933F2" w:rsidRDefault="00623590" w:rsidP="00623590">
      <w:pPr>
        <w:spacing w:after="0"/>
        <w:rPr>
          <w:rFonts w:asciiTheme="majorHAnsi" w:hAnsiTheme="majorHAnsi" w:cstheme="majorHAnsi"/>
          <w:bCs/>
          <w:lang w:val="en-US"/>
        </w:rPr>
      </w:pPr>
      <w:r w:rsidRPr="001933F2">
        <w:rPr>
          <w:rFonts w:asciiTheme="majorHAnsi" w:hAnsiTheme="majorHAnsi" w:cstheme="majorHAnsi"/>
          <w:bCs/>
          <w:lang w:val="en-US"/>
        </w:rPr>
        <w:t>Blood Adv. 2020 Oct 13;4(19):4693-4738.</w:t>
      </w:r>
    </w:p>
    <w:p w14:paraId="00DC6F5D" w14:textId="77777777" w:rsidR="00623590" w:rsidRPr="001933F2" w:rsidRDefault="00623590" w:rsidP="007D63FA">
      <w:pPr>
        <w:spacing w:after="0" w:line="360" w:lineRule="auto"/>
        <w:rPr>
          <w:rFonts w:asciiTheme="majorHAnsi" w:hAnsiTheme="majorHAnsi" w:cstheme="majorHAnsi"/>
          <w:b/>
          <w:lang w:val="en-US"/>
        </w:rPr>
      </w:pPr>
    </w:p>
    <w:p w14:paraId="0AE435C4" w14:textId="30964CBB" w:rsidR="00623590" w:rsidRPr="001933F2" w:rsidRDefault="00623590" w:rsidP="00623590">
      <w:pPr>
        <w:rPr>
          <w:rFonts w:asciiTheme="majorHAnsi" w:hAnsiTheme="majorHAnsi" w:cstheme="majorHAnsi"/>
          <w:bCs/>
          <w:lang w:val="en-US"/>
        </w:rPr>
      </w:pPr>
      <w:r w:rsidRPr="001933F2">
        <w:rPr>
          <w:rFonts w:asciiTheme="majorHAnsi" w:hAnsiTheme="majorHAnsi" w:cstheme="majorHAnsi"/>
          <w:b/>
          <w:lang w:val="en-US"/>
        </w:rPr>
        <w:t xml:space="preserve">Direct oral anticoagulants for cancer-associated venous thromboembolism: a systematic review and meta-analysis. </w:t>
      </w:r>
      <w:r w:rsidRPr="001933F2">
        <w:rPr>
          <w:rFonts w:asciiTheme="majorHAnsi" w:hAnsiTheme="majorHAnsi" w:cstheme="majorHAnsi"/>
          <w:bCs/>
          <w:lang w:val="en-US"/>
        </w:rPr>
        <w:t xml:space="preserve">Mulder FI, Bosch FTM, Young AM, Marshall A, McBane RD, Zemla TJ, Carrier M, Kamphuisen PW, Bossuyt PMM, Büller HR, Weitz JI, Middeldorp S, van Es N. Blood. 2020 Sep 17;136(12):1433-1441. </w:t>
      </w:r>
    </w:p>
    <w:p w14:paraId="4428A780" w14:textId="77777777" w:rsidR="001933F2" w:rsidRPr="001933F2" w:rsidRDefault="001933F2" w:rsidP="001933F2">
      <w:pPr>
        <w:spacing w:after="0"/>
        <w:rPr>
          <w:rFonts w:asciiTheme="majorHAnsi" w:hAnsiTheme="majorHAnsi" w:cstheme="majorHAnsi"/>
          <w:bCs/>
          <w:lang w:val="en-US"/>
        </w:rPr>
      </w:pPr>
      <w:r w:rsidRPr="001933F2">
        <w:rPr>
          <w:rFonts w:asciiTheme="majorHAnsi" w:hAnsiTheme="majorHAnsi" w:cstheme="majorHAnsi"/>
          <w:b/>
          <w:lang w:val="en-US"/>
        </w:rPr>
        <w:t>The 2018 European Heart Rhythm Association Practical Guide on the use of non-vitamin K antagonist oral anticoagulants in patients with atrial fibrillation.</w:t>
      </w:r>
      <w:r w:rsidRPr="001933F2">
        <w:rPr>
          <w:rFonts w:asciiTheme="majorHAnsi" w:hAnsiTheme="majorHAnsi" w:cstheme="majorHAnsi"/>
          <w:bCs/>
          <w:lang w:val="en-US"/>
        </w:rPr>
        <w:t xml:space="preserve"> Steffel J, </w:t>
      </w:r>
      <w:proofErr w:type="spellStart"/>
      <w:r w:rsidRPr="001933F2">
        <w:rPr>
          <w:rFonts w:asciiTheme="majorHAnsi" w:hAnsiTheme="majorHAnsi" w:cstheme="majorHAnsi"/>
          <w:bCs/>
          <w:lang w:val="en-US"/>
        </w:rPr>
        <w:t>Verhamme</w:t>
      </w:r>
      <w:proofErr w:type="spellEnd"/>
      <w:r w:rsidRPr="001933F2">
        <w:rPr>
          <w:rFonts w:asciiTheme="majorHAnsi" w:hAnsiTheme="majorHAnsi" w:cstheme="majorHAnsi"/>
          <w:bCs/>
          <w:lang w:val="en-US"/>
        </w:rPr>
        <w:t xml:space="preserve"> P, </w:t>
      </w:r>
      <w:proofErr w:type="spellStart"/>
      <w:r w:rsidRPr="001933F2">
        <w:rPr>
          <w:rFonts w:asciiTheme="majorHAnsi" w:hAnsiTheme="majorHAnsi" w:cstheme="majorHAnsi"/>
          <w:bCs/>
          <w:lang w:val="en-US"/>
        </w:rPr>
        <w:t>Potpara</w:t>
      </w:r>
      <w:proofErr w:type="spellEnd"/>
      <w:r w:rsidRPr="001933F2">
        <w:rPr>
          <w:rFonts w:asciiTheme="majorHAnsi" w:hAnsiTheme="majorHAnsi" w:cstheme="majorHAnsi"/>
          <w:bCs/>
          <w:lang w:val="en-US"/>
        </w:rPr>
        <w:t xml:space="preserve"> TS, Albaladejo P, Antz M, </w:t>
      </w:r>
      <w:proofErr w:type="spellStart"/>
      <w:r w:rsidRPr="001933F2">
        <w:rPr>
          <w:rFonts w:asciiTheme="majorHAnsi" w:hAnsiTheme="majorHAnsi" w:cstheme="majorHAnsi"/>
          <w:bCs/>
          <w:lang w:val="en-US"/>
        </w:rPr>
        <w:t>Desteghe</w:t>
      </w:r>
      <w:proofErr w:type="spellEnd"/>
      <w:r w:rsidRPr="001933F2">
        <w:rPr>
          <w:rFonts w:asciiTheme="majorHAnsi" w:hAnsiTheme="majorHAnsi" w:cstheme="majorHAnsi"/>
          <w:bCs/>
          <w:lang w:val="en-US"/>
        </w:rPr>
        <w:t xml:space="preserve"> L, </w:t>
      </w:r>
      <w:proofErr w:type="spellStart"/>
      <w:r w:rsidRPr="001933F2">
        <w:rPr>
          <w:rFonts w:asciiTheme="majorHAnsi" w:hAnsiTheme="majorHAnsi" w:cstheme="majorHAnsi"/>
          <w:bCs/>
          <w:lang w:val="en-US"/>
        </w:rPr>
        <w:t>Haeusler</w:t>
      </w:r>
      <w:proofErr w:type="spellEnd"/>
      <w:r w:rsidRPr="001933F2">
        <w:rPr>
          <w:rFonts w:asciiTheme="majorHAnsi" w:hAnsiTheme="majorHAnsi" w:cstheme="majorHAnsi"/>
          <w:bCs/>
          <w:lang w:val="en-US"/>
        </w:rPr>
        <w:t xml:space="preserve"> KG, </w:t>
      </w:r>
      <w:proofErr w:type="spellStart"/>
      <w:r w:rsidRPr="001933F2">
        <w:rPr>
          <w:rFonts w:asciiTheme="majorHAnsi" w:hAnsiTheme="majorHAnsi" w:cstheme="majorHAnsi"/>
          <w:bCs/>
          <w:lang w:val="en-US"/>
        </w:rPr>
        <w:t>Oldgren</w:t>
      </w:r>
      <w:proofErr w:type="spellEnd"/>
      <w:r w:rsidRPr="001933F2">
        <w:rPr>
          <w:rFonts w:asciiTheme="majorHAnsi" w:hAnsiTheme="majorHAnsi" w:cstheme="majorHAnsi"/>
          <w:bCs/>
          <w:lang w:val="en-US"/>
        </w:rPr>
        <w:t xml:space="preserve"> J, Reinecke H, Roldan-Schilling V, Rowell N, Sinnaeve P, Collins R, Camm AJ, </w:t>
      </w:r>
      <w:proofErr w:type="spellStart"/>
      <w:r w:rsidRPr="001933F2">
        <w:rPr>
          <w:rFonts w:asciiTheme="majorHAnsi" w:hAnsiTheme="majorHAnsi" w:cstheme="majorHAnsi"/>
          <w:bCs/>
          <w:lang w:val="en-US"/>
        </w:rPr>
        <w:t>Heidbüchel</w:t>
      </w:r>
      <w:proofErr w:type="spellEnd"/>
      <w:r w:rsidRPr="001933F2">
        <w:rPr>
          <w:rFonts w:asciiTheme="majorHAnsi" w:hAnsiTheme="majorHAnsi" w:cstheme="majorHAnsi"/>
          <w:bCs/>
          <w:lang w:val="en-US"/>
        </w:rPr>
        <w:t xml:space="preserve"> H; ESC Scientific Document Group. Eur Heart J. 2018 Apr 21;39(16):1330-1393.</w:t>
      </w:r>
    </w:p>
    <w:p w14:paraId="58705346" w14:textId="77777777" w:rsidR="001933F2" w:rsidRDefault="001933F2" w:rsidP="00623590">
      <w:pPr>
        <w:rPr>
          <w:rFonts w:asciiTheme="majorHAnsi" w:hAnsiTheme="majorHAnsi" w:cstheme="majorHAnsi"/>
          <w:bCs/>
          <w:lang w:val="en-US"/>
        </w:rPr>
      </w:pPr>
    </w:p>
    <w:p w14:paraId="4E6F4918" w14:textId="66AEBC07" w:rsidR="00623590" w:rsidRPr="001933F2" w:rsidRDefault="00623590" w:rsidP="00623590">
      <w:pPr>
        <w:rPr>
          <w:rFonts w:asciiTheme="majorHAnsi" w:hAnsiTheme="majorHAnsi" w:cstheme="majorHAnsi"/>
          <w:bCs/>
          <w:lang w:val="en-US"/>
        </w:rPr>
      </w:pPr>
      <w:r w:rsidRPr="001933F2">
        <w:rPr>
          <w:rFonts w:asciiTheme="majorHAnsi" w:hAnsiTheme="majorHAnsi" w:cstheme="majorHAnsi"/>
          <w:b/>
          <w:lang w:val="en-US"/>
        </w:rPr>
        <w:t>Treatment of unusual thrombotic manifestations.</w:t>
      </w:r>
      <w:r w:rsidRPr="001933F2">
        <w:rPr>
          <w:rFonts w:asciiTheme="majorHAnsi" w:hAnsiTheme="majorHAnsi" w:cstheme="majorHAnsi"/>
          <w:bCs/>
          <w:lang w:val="en-US"/>
        </w:rPr>
        <w:t xml:space="preserve"> Abbattista M, Capecchi M, Martinelli I. Blood. 2020 Jan 30;135(5):326-334.</w:t>
      </w:r>
    </w:p>
    <w:p w14:paraId="23138496" w14:textId="45B1DF31" w:rsidR="007D63FA" w:rsidRPr="0044140C" w:rsidRDefault="00623590" w:rsidP="0044140C">
      <w:pPr>
        <w:rPr>
          <w:lang w:val="en-US"/>
        </w:rPr>
      </w:pPr>
      <w:r w:rsidRPr="001933F2">
        <w:rPr>
          <w:rFonts w:asciiTheme="majorHAnsi" w:hAnsiTheme="majorHAnsi" w:cstheme="majorHAnsi"/>
          <w:b/>
          <w:lang w:val="en-US"/>
        </w:rPr>
        <w:t xml:space="preserve">Managing thromboembolic risk in patients with hereditary and acquired </w:t>
      </w:r>
      <w:proofErr w:type="spellStart"/>
      <w:r w:rsidRPr="001933F2">
        <w:rPr>
          <w:rFonts w:asciiTheme="majorHAnsi" w:hAnsiTheme="majorHAnsi" w:cstheme="majorHAnsi"/>
          <w:b/>
          <w:lang w:val="en-US"/>
        </w:rPr>
        <w:t>thrombophilias</w:t>
      </w:r>
      <w:proofErr w:type="spellEnd"/>
      <w:r w:rsidRPr="001933F2">
        <w:rPr>
          <w:rFonts w:asciiTheme="majorHAnsi" w:hAnsiTheme="majorHAnsi" w:cstheme="majorHAnsi"/>
          <w:b/>
          <w:lang w:val="en-US"/>
        </w:rPr>
        <w:t xml:space="preserve">. </w:t>
      </w:r>
      <w:r w:rsidRPr="001933F2">
        <w:rPr>
          <w:rFonts w:asciiTheme="majorHAnsi" w:hAnsiTheme="majorHAnsi" w:cstheme="majorHAnsi"/>
          <w:bCs/>
          <w:lang w:val="en-US"/>
        </w:rPr>
        <w:t>Moran J, Bauer KA.</w:t>
      </w:r>
      <w:r w:rsidR="001933F2" w:rsidRPr="001933F2">
        <w:rPr>
          <w:rFonts w:asciiTheme="majorHAnsi" w:hAnsiTheme="majorHAnsi" w:cstheme="majorHAnsi"/>
          <w:bCs/>
          <w:lang w:val="en-US"/>
        </w:rPr>
        <w:t xml:space="preserve"> </w:t>
      </w:r>
      <w:r w:rsidRPr="001933F2">
        <w:rPr>
          <w:rFonts w:asciiTheme="majorHAnsi" w:hAnsiTheme="majorHAnsi" w:cstheme="majorHAnsi"/>
          <w:bCs/>
          <w:lang w:val="en-US"/>
        </w:rPr>
        <w:t>Blood. 2020 Jan 30;135(5):344-350.</w:t>
      </w:r>
    </w:p>
    <w:sectPr w:rsidR="007D63FA" w:rsidRPr="0044140C" w:rsidSect="007D63FA">
      <w:pgSz w:w="11900" w:h="16840"/>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3FA"/>
    <w:rsid w:val="001933F2"/>
    <w:rsid w:val="0044140C"/>
    <w:rsid w:val="004A3E14"/>
    <w:rsid w:val="00573B80"/>
    <w:rsid w:val="005C5DDB"/>
    <w:rsid w:val="00623590"/>
    <w:rsid w:val="00787DD4"/>
    <w:rsid w:val="0079114F"/>
    <w:rsid w:val="007D63FA"/>
    <w:rsid w:val="009475A4"/>
    <w:rsid w:val="00955D54"/>
    <w:rsid w:val="00985E54"/>
    <w:rsid w:val="00C147C2"/>
    <w:rsid w:val="00DE48E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D1D1B2"/>
  <w14:defaultImageDpi w14:val="300"/>
  <w15:docId w15:val="{6DEB6578-0237-3F44-8542-E63A5F202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63FA"/>
    <w:pPr>
      <w:spacing w:after="200"/>
    </w:pPr>
    <w:rPr>
      <w:rFonts w:ascii="Cambria" w:eastAsia="Cambria" w:hAnsi="Cambria"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827972">
      <w:bodyDiv w:val="1"/>
      <w:marLeft w:val="0"/>
      <w:marRight w:val="0"/>
      <w:marTop w:val="0"/>
      <w:marBottom w:val="0"/>
      <w:divBdr>
        <w:top w:val="none" w:sz="0" w:space="0" w:color="auto"/>
        <w:left w:val="none" w:sz="0" w:space="0" w:color="auto"/>
        <w:bottom w:val="none" w:sz="0" w:space="0" w:color="auto"/>
        <w:right w:val="none" w:sz="0" w:space="0" w:color="auto"/>
      </w:divBdr>
      <w:divsChild>
        <w:div w:id="1332372581">
          <w:marLeft w:val="0"/>
          <w:marRight w:val="0"/>
          <w:marTop w:val="0"/>
          <w:marBottom w:val="0"/>
          <w:divBdr>
            <w:top w:val="none" w:sz="0" w:space="0" w:color="auto"/>
            <w:left w:val="none" w:sz="0" w:space="0" w:color="auto"/>
            <w:bottom w:val="none" w:sz="0" w:space="0" w:color="auto"/>
            <w:right w:val="none" w:sz="0" w:space="0" w:color="auto"/>
          </w:divBdr>
        </w:div>
      </w:divsChild>
    </w:div>
    <w:div w:id="192496803">
      <w:bodyDiv w:val="1"/>
      <w:marLeft w:val="0"/>
      <w:marRight w:val="0"/>
      <w:marTop w:val="0"/>
      <w:marBottom w:val="0"/>
      <w:divBdr>
        <w:top w:val="none" w:sz="0" w:space="0" w:color="auto"/>
        <w:left w:val="none" w:sz="0" w:space="0" w:color="auto"/>
        <w:bottom w:val="none" w:sz="0" w:space="0" w:color="auto"/>
        <w:right w:val="none" w:sz="0" w:space="0" w:color="auto"/>
      </w:divBdr>
    </w:div>
    <w:div w:id="301810611">
      <w:bodyDiv w:val="1"/>
      <w:marLeft w:val="0"/>
      <w:marRight w:val="0"/>
      <w:marTop w:val="0"/>
      <w:marBottom w:val="0"/>
      <w:divBdr>
        <w:top w:val="none" w:sz="0" w:space="0" w:color="auto"/>
        <w:left w:val="none" w:sz="0" w:space="0" w:color="auto"/>
        <w:bottom w:val="none" w:sz="0" w:space="0" w:color="auto"/>
        <w:right w:val="none" w:sz="0" w:space="0" w:color="auto"/>
      </w:divBdr>
    </w:div>
    <w:div w:id="699815341">
      <w:bodyDiv w:val="1"/>
      <w:marLeft w:val="0"/>
      <w:marRight w:val="0"/>
      <w:marTop w:val="0"/>
      <w:marBottom w:val="0"/>
      <w:divBdr>
        <w:top w:val="none" w:sz="0" w:space="0" w:color="auto"/>
        <w:left w:val="none" w:sz="0" w:space="0" w:color="auto"/>
        <w:bottom w:val="none" w:sz="0" w:space="0" w:color="auto"/>
        <w:right w:val="none" w:sz="0" w:space="0" w:color="auto"/>
      </w:divBdr>
      <w:divsChild>
        <w:div w:id="1956254746">
          <w:marLeft w:val="0"/>
          <w:marRight w:val="0"/>
          <w:marTop w:val="0"/>
          <w:marBottom w:val="0"/>
          <w:divBdr>
            <w:top w:val="none" w:sz="0" w:space="0" w:color="auto"/>
            <w:left w:val="none" w:sz="0" w:space="0" w:color="auto"/>
            <w:bottom w:val="none" w:sz="0" w:space="0" w:color="auto"/>
            <w:right w:val="none" w:sz="0" w:space="0" w:color="auto"/>
          </w:divBdr>
        </w:div>
      </w:divsChild>
    </w:div>
    <w:div w:id="882449602">
      <w:bodyDiv w:val="1"/>
      <w:marLeft w:val="0"/>
      <w:marRight w:val="0"/>
      <w:marTop w:val="0"/>
      <w:marBottom w:val="0"/>
      <w:divBdr>
        <w:top w:val="none" w:sz="0" w:space="0" w:color="auto"/>
        <w:left w:val="none" w:sz="0" w:space="0" w:color="auto"/>
        <w:bottom w:val="none" w:sz="0" w:space="0" w:color="auto"/>
        <w:right w:val="none" w:sz="0" w:space="0" w:color="auto"/>
      </w:divBdr>
      <w:divsChild>
        <w:div w:id="2022849231">
          <w:marLeft w:val="0"/>
          <w:marRight w:val="0"/>
          <w:marTop w:val="0"/>
          <w:marBottom w:val="0"/>
          <w:divBdr>
            <w:top w:val="none" w:sz="0" w:space="0" w:color="auto"/>
            <w:left w:val="none" w:sz="0" w:space="0" w:color="auto"/>
            <w:bottom w:val="none" w:sz="0" w:space="0" w:color="auto"/>
            <w:right w:val="none" w:sz="0" w:space="0" w:color="auto"/>
          </w:divBdr>
        </w:div>
      </w:divsChild>
    </w:div>
    <w:div w:id="997877803">
      <w:bodyDiv w:val="1"/>
      <w:marLeft w:val="0"/>
      <w:marRight w:val="0"/>
      <w:marTop w:val="0"/>
      <w:marBottom w:val="0"/>
      <w:divBdr>
        <w:top w:val="none" w:sz="0" w:space="0" w:color="auto"/>
        <w:left w:val="none" w:sz="0" w:space="0" w:color="auto"/>
        <w:bottom w:val="none" w:sz="0" w:space="0" w:color="auto"/>
        <w:right w:val="none" w:sz="0" w:space="0" w:color="auto"/>
      </w:divBdr>
      <w:divsChild>
        <w:div w:id="1372723720">
          <w:marLeft w:val="0"/>
          <w:marRight w:val="0"/>
          <w:marTop w:val="0"/>
          <w:marBottom w:val="0"/>
          <w:divBdr>
            <w:top w:val="none" w:sz="0" w:space="0" w:color="auto"/>
            <w:left w:val="none" w:sz="0" w:space="0" w:color="auto"/>
            <w:bottom w:val="none" w:sz="0" w:space="0" w:color="auto"/>
            <w:right w:val="none" w:sz="0" w:space="0" w:color="auto"/>
          </w:divBdr>
        </w:div>
      </w:divsChild>
    </w:div>
    <w:div w:id="1238321593">
      <w:bodyDiv w:val="1"/>
      <w:marLeft w:val="0"/>
      <w:marRight w:val="0"/>
      <w:marTop w:val="0"/>
      <w:marBottom w:val="0"/>
      <w:divBdr>
        <w:top w:val="none" w:sz="0" w:space="0" w:color="auto"/>
        <w:left w:val="none" w:sz="0" w:space="0" w:color="auto"/>
        <w:bottom w:val="none" w:sz="0" w:space="0" w:color="auto"/>
        <w:right w:val="none" w:sz="0" w:space="0" w:color="auto"/>
      </w:divBdr>
      <w:divsChild>
        <w:div w:id="1319922561">
          <w:marLeft w:val="0"/>
          <w:marRight w:val="0"/>
          <w:marTop w:val="0"/>
          <w:marBottom w:val="0"/>
          <w:divBdr>
            <w:top w:val="none" w:sz="0" w:space="0" w:color="auto"/>
            <w:left w:val="none" w:sz="0" w:space="0" w:color="auto"/>
            <w:bottom w:val="none" w:sz="0" w:space="0" w:color="auto"/>
            <w:right w:val="none" w:sz="0" w:space="0" w:color="auto"/>
          </w:divBdr>
        </w:div>
      </w:divsChild>
    </w:div>
    <w:div w:id="1352680126">
      <w:bodyDiv w:val="1"/>
      <w:marLeft w:val="0"/>
      <w:marRight w:val="0"/>
      <w:marTop w:val="0"/>
      <w:marBottom w:val="0"/>
      <w:divBdr>
        <w:top w:val="none" w:sz="0" w:space="0" w:color="auto"/>
        <w:left w:val="none" w:sz="0" w:space="0" w:color="auto"/>
        <w:bottom w:val="none" w:sz="0" w:space="0" w:color="auto"/>
        <w:right w:val="none" w:sz="0" w:space="0" w:color="auto"/>
      </w:divBdr>
      <w:divsChild>
        <w:div w:id="1572108986">
          <w:marLeft w:val="0"/>
          <w:marRight w:val="0"/>
          <w:marTop w:val="0"/>
          <w:marBottom w:val="0"/>
          <w:divBdr>
            <w:top w:val="none" w:sz="0" w:space="0" w:color="auto"/>
            <w:left w:val="none" w:sz="0" w:space="0" w:color="auto"/>
            <w:bottom w:val="none" w:sz="0" w:space="0" w:color="auto"/>
            <w:right w:val="none" w:sz="0" w:space="0" w:color="auto"/>
          </w:divBdr>
        </w:div>
      </w:divsChild>
    </w:div>
    <w:div w:id="1386485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E043986995834BB7EA35D839EB81AA" ma:contentTypeVersion="14" ma:contentTypeDescription="Create a new document." ma:contentTypeScope="" ma:versionID="a16aa858cf83103dcd8ec2c1baf7cc02">
  <xsd:schema xmlns:xsd="http://www.w3.org/2001/XMLSchema" xmlns:xs="http://www.w3.org/2001/XMLSchema" xmlns:p="http://schemas.microsoft.com/office/2006/metadata/properties" xmlns:ns2="773b0577-bea7-4f6e-b8dc-03f5f4926057" xmlns:ns3="e6bdda7f-f63a-4a4e-a1f5-2bf3d3b59618" targetNamespace="http://schemas.microsoft.com/office/2006/metadata/properties" ma:root="true" ma:fieldsID="9b2546f7c7f6733d1d99b7ea3c63c577" ns2:_="" ns3:_="">
    <xsd:import namespace="773b0577-bea7-4f6e-b8dc-03f5f4926057"/>
    <xsd:import namespace="e6bdda7f-f63a-4a4e-a1f5-2bf3d3b59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b0577-bea7-4f6e-b8dc-03f5f49260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5503ba6-c77d-4a47-a49f-513eb447c3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bdda7f-f63a-4a4e-a1f5-2bf3d3b59618"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828a188e-1154-408b-b676-01eb762938b7}" ma:internalName="TaxCatchAll" ma:showField="CatchAllData" ma:web="e6bdda7f-f63a-4a4e-a1f5-2bf3d3b596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2460AE-8389-455E-8537-FED9698C4559}">
  <ds:schemaRefs>
    <ds:schemaRef ds:uri="http://schemas.microsoft.com/sharepoint/v3/contenttype/forms"/>
  </ds:schemaRefs>
</ds:datastoreItem>
</file>

<file path=customXml/itemProps2.xml><?xml version="1.0" encoding="utf-8"?>
<ds:datastoreItem xmlns:ds="http://schemas.openxmlformats.org/officeDocument/2006/customXml" ds:itemID="{E5157601-0A97-447E-A671-CC06B267D3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b0577-bea7-4f6e-b8dc-03f5f4926057"/>
    <ds:schemaRef ds:uri="e6bdda7f-f63a-4a4e-a1f5-2bf3d3b596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1300</Characters>
  <Application>Microsoft Office Word</Application>
  <DocSecurity>0</DocSecurity>
  <Lines>10</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Cliniques Universitaires Saint-Luc</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Servais</dc:creator>
  <cp:lastModifiedBy>Frederic Vankraenenbroeck</cp:lastModifiedBy>
  <cp:revision>4</cp:revision>
  <dcterms:created xsi:type="dcterms:W3CDTF">2022-12-15T16:55:00Z</dcterms:created>
  <dcterms:modified xsi:type="dcterms:W3CDTF">2022-12-20T12:47:00Z</dcterms:modified>
</cp:coreProperties>
</file>